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0"/>
        </w:numPr>
        <w:ind w:left="820" w:leftChars="0" w:hanging="820" w:hangingChars="293"/>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【様式３】</w:t>
      </w:r>
    </w:p>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p>
      <w:pPr>
        <w:pStyle w:val="0"/>
        <w:numPr>
          <w:ilvl w:val="0"/>
          <w:numId w:val="0"/>
        </w:numPr>
        <w:ind w:left="820" w:leftChars="0" w:hanging="820" w:hangingChars="293"/>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8"/>
        </w:rPr>
        <w:t>施設運営にあたっての考え方</w:t>
      </w:r>
      <w:bookmarkStart w:id="0" w:name="_GoBack"/>
      <w:bookmarkEnd w:id="0"/>
    </w:p>
    <w:p>
      <w:pPr>
        <w:pStyle w:val="0"/>
        <w:numPr>
          <w:ilvl w:val="0"/>
          <w:numId w:val="0"/>
        </w:numPr>
        <w:ind w:left="820" w:leftChars="0" w:hanging="820" w:hangingChars="293"/>
        <w:jc w:val="center"/>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計画地において整備・運営する施設についての考え方を、これまでの既存園での取組実績や計画地に整備する保育施設の運営計画等を記入してください。</w:t>
      </w:r>
    </w:p>
    <w:p>
      <w:pPr>
        <w:pStyle w:val="0"/>
        <w:numPr>
          <w:ilvl w:val="0"/>
          <w:numId w:val="0"/>
        </w:numPr>
        <w:ind w:left="164" w:leftChars="78" w:firstLine="240" w:firstLineChars="1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認可保育所と放課後児童クラブ施設の両方に応募する場合、それぞれの内容について分かるように記入してください。</w:t>
      </w:r>
    </w:p>
    <w:p>
      <w:pPr>
        <w:pStyle w:val="0"/>
        <w:numPr>
          <w:ilvl w:val="0"/>
          <w:numId w:val="0"/>
        </w:numPr>
        <w:ind w:left="164" w:leftChars="78" w:firstLine="240" w:firstLineChars="1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記入欄は適宜広げて記入してください。</w:t>
      </w: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新たな保育施設運営にあたっての基本的な方針や目標</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定員設定に関する考え方</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職員育成の考え方、研修計画、健康管理</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児童の健康・保健衛生管理、疾病、安全管理等の対応（与薬のルール等含む）</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給食、食育の考え方、食物アレルギーへの対応について</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color w:val="000000" w:themeColor="text1"/>
        </w:rPr>
        <w:br w:type="page"/>
      </w: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保護者負担費用について（保育料・保育料以外の内容・金額・徴収方法など）</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７</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障がい児受入の実施についての基本理念</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８</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配慮を要する園児の保育、また家庭への支援に対する考え方、体制</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９</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地域社会との交流や連携に対する考え方</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10 </w:t>
      </w:r>
      <w:r>
        <w:rPr>
          <w:rFonts w:hint="eastAsia" w:ascii="ＭＳ 明朝" w:hAnsi="ＭＳ 明朝" w:eastAsia="ＭＳ 明朝"/>
          <w:color w:val="000000" w:themeColor="text1"/>
          <w:sz w:val="24"/>
        </w:rPr>
        <w:t>園舎建設にあたっての近隣住民への配慮、周辺道路の路上駐車対策</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4"/>
        </w:rPr>
        <w:t xml:space="preserve">11 </w:t>
      </w:r>
      <w:r>
        <w:rPr>
          <w:rFonts w:hint="eastAsia" w:ascii="ＭＳ 明朝" w:hAnsi="ＭＳ 明朝" w:eastAsia="ＭＳ 明朝"/>
          <w:color w:val="000000" w:themeColor="text1"/>
          <w:sz w:val="24"/>
        </w:rPr>
        <w:t>法人独自提案、その他（特にアピールしたいことがあれば記入してください）</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sectPr>
      <w:footerReference r:id="rId5" w:type="default"/>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East Sea Dokdo">
    <w:panose1 w:val="00000000000000000000"/>
    <w:charset w:val="81"/>
    <w:family w:val="auto"/>
    <w:pitch w:val="fixed"/>
    <w:sig w:usb0="00000000" w:usb1="00000000" w:usb2="00000000" w:usb3="00000000" w:csb0="010008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ヒラギノ角ゴ Pro W3">
    <w:panose1 w:val="00000000000000000000"/>
    <w:charset w:val="00"/>
    <w:family w:val="auto"/>
    <w:pitch w:val="fixed"/>
    <w:sig w:usb0="00000000" w:usb1="00000000" w:usb2="00000000" w:usb3="00000000" w:csb0="00000000" w:csb1="00000000"/>
  </w:font>
  <w:font w:name="Euphorigenic">
    <w:panose1 w:val="00000000000000000000"/>
    <w:charset w:val="00"/>
    <w:family w:val="auto"/>
    <w:pitch w:val="fixed"/>
    <w:sig w:usb0="00000000" w:usb1="00000000" w:usb2="00000000" w:usb3="00000000" w:csb0="01000000" w:csb1="00000000"/>
  </w:font>
  <w:font w:name="住基ネット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ＭＳ 明朝" w:hAnsi="ＭＳ 明朝" w:eastAsia="ＭＳ 明朝"/>
        <w:sz w:val="24"/>
      </w:rPr>
    </w:sdtEndPr>
    <w:sdtContent>
      <w:p>
        <w:pPr>
          <w:pStyle w:val="0"/>
          <w:jc w:val="center"/>
          <w:rPr>
            <w:rFonts w:hint="eastAsia"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sz w:val="24"/>
          </w:rPr>
          <w:t>2</w:t>
        </w:r>
        <w:r>
          <w:rPr>
            <w:rFonts w:hint="eastAsia"/>
          </w:rPr>
          <w:fldChar w:fldCharType="end"/>
        </w:r>
      </w:p>
    </w:sdtContent>
  </w:sdt>
  <w:p>
    <w:pPr>
      <w:pStyle w:val="0"/>
      <w:rPr>
        <w:rFonts w:hint="eastAsia" w:ascii="ＭＳ 明朝" w:hAnsi="ＭＳ 明朝" w:eastAsia="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2">
    <w:name w:val="heading 2"/>
    <w:next w:val="0"/>
    <w:link w:val="0"/>
    <w:uiPriority w:val="0"/>
    <w:qFormat/>
    <w:pPr>
      <w:spacing w:beforeAutospacing="1" w:afterAutospacing="1"/>
      <w:jc w:val="left"/>
    </w:pPr>
    <w:rPr>
      <w:rFonts w:ascii="SimSun" w:hAnsi="SimSun" w:eastAsia="SimSun"/>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17</Pages>
  <Words>312</Words>
  <Characters>4084</Characters>
  <Application>JUST Note</Application>
  <Lines>13202</Lines>
  <Paragraphs>657</Paragraphs>
  <CharactersWithSpaces>4581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cp:lastPrinted>2024-10-09T07:32:12Z</cp:lastPrinted>
  <dcterms:created xsi:type="dcterms:W3CDTF">2024-09-22T11:34:00Z</dcterms:created>
  <dcterms:modified xsi:type="dcterms:W3CDTF">2024-10-09T07:32:57Z</dcterms:modified>
  <cp:revision>13</cp:revision>
</cp:coreProperties>
</file>