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収支予算書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</w:t>
      </w:r>
    </w:p>
    <w:tbl>
      <w:tblPr>
        <w:tblStyle w:val="11"/>
        <w:tblW w:w="0" w:type="auto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35"/>
        <w:gridCol w:w="1840"/>
        <w:gridCol w:w="3105"/>
      </w:tblGrid>
      <w:tr>
        <w:trPr>
          <w:trHeight w:val="7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市民等主催冠事業支援補助金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寄附金その他の収入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</w:t>
      </w:r>
    </w:p>
    <w:tbl>
      <w:tblPr>
        <w:tblStyle w:val="11"/>
        <w:tblW w:w="0" w:type="auto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35"/>
        <w:gridCol w:w="1840"/>
        <w:gridCol w:w="3105"/>
      </w:tblGrid>
      <w:tr>
        <w:trPr>
          <w:trHeight w:val="7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項目（項目の説明）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報償費（講師謝礼等）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旅費（交通費等、通行料等）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需用費（消耗品費、食糧費、光熱水費、印刷費等）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役務費（郵送料、通信料、保険料等）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使用料等（会場使用料、物品レンタル料等）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0</Words>
  <Characters>186</Characters>
  <Application>JUST Note</Application>
  <Lines>61</Lines>
  <Paragraphs>25</Paragraphs>
  <Company>Microsoft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